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jc w:val="both"/>
        <w:rPr>
          <w:rFonts w:ascii="Arial" w:hAnsi="Arial"/>
          <w:sz w:val="22"/>
        </w:rPr>
      </w:pPr>
      <w:r>
        <w:rPr>
          <w:rFonts w:ascii="Arial" w:hAnsi="Arial"/>
          <w:sz w:val="22"/>
        </w:rPr>
        <w:t>An die Erziehungsberechtigten</w:t>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 xml:space="preserve">Ort, </w:t>
      </w:r>
      <w:r>
        <w:rPr>
          <w:rFonts w:ascii="Arial" w:hAnsi="Arial"/>
          <w:sz w:val="22"/>
        </w:rPr>
        <w:fldChar w:fldCharType="begin"/>
        <w:instrText xml:space="preserve"> TIME \@ "d. MMMM yyyy" </w:instrText>
        <w:fldChar w:fldCharType="separate"/>
        <w:t>24. März 2009</w:t>
        <w:fldChar w:fldCharType="end"/>
      </w:r>
      <w:r>
        <w:rPr>
          <w:rFonts w:ascii="Arial" w:hAnsi="Arial"/>
          <w:sz w:val="22"/>
        </w:rPr>
        <w:t xml:space="preserve"> </w:t>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r>
    </w:p>
    <w:p>
      <w:pPr>
        <w:spacing/>
        <w:jc w:val="both"/>
        <w:rPr>
          <w:rFonts w:ascii="Arial" w:hAnsi="Arial"/>
          <w:b/>
          <w:sz w:val="22"/>
        </w:rPr>
      </w:pPr>
      <w:r>
        <w:rPr>
          <w:rFonts w:ascii="Arial" w:hAnsi="Arial"/>
          <w:b/>
          <w:sz w:val="22"/>
        </w:rPr>
        <w:t>Erste Hilfe in der weiterführenden Schule</w:t>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Liebe Eltern,</w:t>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in der nächsten Zeit wollen wir im Rahmen des stundenplanmäßigen Unterrichtes gemeinsam mit den Schülerinnen und Schülern das bewährte Programm „Juniorhelfer plus“ des Bayerischen Jugendrotkreuzes umsetzen. Dieses vereint die Erziehung zu sozialen Werten mit der Vermittlung von Erste-Hilfe-Wissen. Dadurch wird die Grundlage zu aktivem Helfen und</w:t>
      </w:r>
      <w:r>
        <w:t xml:space="preserve"> </w:t>
      </w:r>
      <w:r>
        <w:rPr>
          <w:rFonts w:ascii="Arial" w:hAnsi="Arial"/>
          <w:sz w:val="22"/>
        </w:rPr>
        <w:t>zu selbstständigem und verantwortungsbewusstem Handeln ge</w:t>
      </w:r>
      <w:r>
        <w:rPr>
          <w:rFonts w:ascii="Arial" w:hAnsi="Arial"/>
          <w:sz w:val="22"/>
        </w:rPr>
        <w:t>schaffen.</w:t>
      </w:r>
      <w:r>
        <w:rPr>
          <w:rFonts w:ascii="Arial" w:hAnsi="Arial"/>
          <w:sz w:val="22"/>
        </w:rPr>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Jeder, auch ein Jugendlicher, ist in der Lage, einfache Erste-Hilfe-Maßnahmen durchzuführen. Je früher Kinder lernen, professionelles Helferverhalten an den Tag zu legen, umso selbstverständlicher und unbefangener leisten sie auch später Hilfe.</w:t>
      </w:r>
      <w:r>
        <w:t xml:space="preserve"> </w:t>
      </w:r>
      <w:r>
        <w:rPr>
          <w:rFonts w:ascii="Arial" w:hAnsi="Arial"/>
          <w:sz w:val="22"/>
        </w:rPr>
        <w:t xml:space="preserve">Das praktische Üben erwirkt außerdem sowohl emotionale Stärkung, als auch Teamgeist und Zusammenhalt. Vielleicht ist dies den Schülerinnen und Schülern ja schon aus der Grundschule vom Programm „Juniorhelfer“ bekannt, das wir nun sozusagen fortsetzen. Durch Themen der Ersten Hilfe </w:t>
      </w:r>
      <w:r>
        <w:rPr>
          <w:rFonts w:ascii="Arial" w:hAnsi="Arial"/>
          <w:sz w:val="22"/>
        </w:rPr>
        <w:t>(</w:t>
      </w:r>
      <w:r>
        <w:rPr>
          <w:rFonts w:ascii="Arial" w:hAnsi="Arial"/>
          <w:sz w:val="22"/>
        </w:rPr>
        <w:t xml:space="preserve">von der Einhaltung von Hygienemaßnahmen bis zu ersten Übungen der Wiederbelebung) </w:t>
      </w:r>
      <w:r>
        <w:rPr>
          <w:rFonts w:ascii="Arial" w:hAnsi="Arial"/>
          <w:sz w:val="22"/>
        </w:rPr>
        <w:t xml:space="preserve">werden diese Werte in der weiterführenden Schule ausgebaut und fortentwickelt und die Jugendlichen können - </w:t>
      </w:r>
      <w:r>
        <w:rPr>
          <w:rFonts w:ascii="Arial" w:hAnsi="Arial"/>
          <w:sz w:val="22"/>
        </w:rPr>
        <w:t>aufgrund</w:t>
      </w:r>
      <w:r>
        <w:rPr>
          <w:rFonts w:ascii="Arial" w:hAnsi="Arial"/>
          <w:sz w:val="22"/>
        </w:rPr>
        <w:t xml:space="preserve"> des handlungsorientierten Konzeptes des Juniorhelfer plus - Sinn und Inhalt dieser Werte auch verstehen und verinnerlichen.</w:t>
      </w:r>
    </w:p>
    <w:p>
      <w:pPr>
        <w:spacing/>
        <w:jc w:val="both"/>
        <w:rPr>
          <w:rFonts w:ascii="Arial" w:hAnsi="Arial"/>
          <w:sz w:val="22"/>
        </w:rPr>
      </w:pPr>
      <w:r>
        <w:rPr>
          <w:rFonts w:ascii="Arial" w:hAnsi="Arial"/>
          <w:sz w:val="22"/>
        </w:rPr>
        <w:t>Außerdem bereiten wir mit dem Juniorhelfer plus auch den Erste-Hilfe-Kurs und das Wiederbelebungstraining der höheren Jahrgangsstufen vor.</w:t>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Die Konzepte des Jugendrotkreuzes für einen altersgerechten Unterricht der Ersten Hilfe haben sich</w:t>
      </w:r>
      <w:r/>
      <w:bookmarkStart w:id="0" w:name="_GoBack"/>
      <w:r/>
      <w:bookmarkEnd w:id="0"/>
      <w:r/>
      <w:r>
        <w:rPr>
          <w:rFonts w:ascii="Arial" w:hAnsi="Arial"/>
          <w:sz w:val="22"/>
        </w:rPr>
        <w:t xml:space="preserve"> bereits über viele Jahre hinweg in den Schulen bewährt und knüpfen an den </w:t>
      </w:r>
      <w:r>
        <w:rPr>
          <w:rFonts w:ascii="Arial" w:hAnsi="Arial"/>
          <w:sz w:val="22"/>
        </w:rPr>
        <w:t>LehrplanPLUS</w:t>
      </w:r>
      <w:r>
        <w:rPr>
          <w:rFonts w:ascii="Arial" w:hAnsi="Arial"/>
          <w:sz w:val="22"/>
        </w:rPr>
        <w:t xml:space="preserve"> aller Schularten an. Die Themen der Ersten Hilfe können folglich lehrplankonform aufgegriffen und in den Unterricht eingeflochten werden.</w:t>
      </w:r>
      <w:r>
        <w:rPr>
          <w:rFonts w:ascii="Arial" w:hAnsi="Arial"/>
          <w:sz w:val="22"/>
        </w:rPr>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Ich möchte Sie bitten die Umsetzung des Juniorhelfer plus durch ihr Interesse zu unterstützen und diesbezügliche Anliegen der Kinder, die sie nach Hause tragen, aufzugreifen. Weitere Informationen gebe ich Ihnen gerne im Rahmen des nächsten Elternabends. Wenn Sie sich selbst zu dem Programm erkundigen möchten, finden Sie umfangreiche Informationen und Materialien im Internet unter www.jrk-bayern.de/juniorhelfer-plus.</w:t>
      </w:r>
    </w:p>
    <w:p>
      <w:pPr>
        <w:spacing/>
        <w:jc w:val="both"/>
        <w:rPr>
          <w:rFonts w:ascii="Arial" w:hAnsi="Arial"/>
          <w:sz w:val="22"/>
        </w:rPr>
      </w:pPr>
      <w:r>
        <w:rPr>
          <w:rFonts w:ascii="Arial" w:hAnsi="Arial"/>
          <w:sz w:val="22"/>
        </w:rPr>
      </w:r>
    </w:p>
    <w:p>
      <w:pPr>
        <w:spacing/>
        <w:jc w:val="both"/>
        <w:rPr>
          <w:rFonts w:ascii="Arial" w:hAnsi="Arial"/>
          <w:sz w:val="22"/>
        </w:rPr>
      </w:pPr>
      <w:r>
        <w:rPr>
          <w:rFonts w:ascii="Arial" w:hAnsi="Arial"/>
          <w:sz w:val="22"/>
        </w:rPr>
        <w:t>Mit freundlichen Grüßen</w:t>
      </w:r>
    </w:p>
    <w:p>
      <w:pPr>
        <w:spacing/>
        <w:jc w:val="both"/>
        <w:rPr>
          <w:rFonts w:ascii="Arial" w:hAnsi="Arial" w:cs="Arial"/>
          <w:sz w:val="22"/>
          <w:szCs w:val="22"/>
        </w:rPr>
      </w:pPr>
      <w:r>
        <w:rPr>
          <w:rFonts w:ascii="Arial" w:hAnsi="Arial" w:cs="Arial"/>
          <w:sz w:val="22"/>
          <w:szCs w:val="22"/>
        </w:rPr>
      </w:r>
    </w:p>
    <w:sectPr>
      <w:footnotePr>
        <w:pos w:val="pageBottom"/>
        <w:numFmt w:val="decimal"/>
        <w:numStart w:val="1"/>
        <w:numRestart w:val="continuous"/>
      </w:footnotePr>
      <w:endnotePr>
        <w:pos w:val="docEnd"/>
        <w:numFmt w:val="lowerRoman"/>
        <w:numStart w:val="1"/>
        <w:numRestart w:val="continuous"/>
      </w:endnotePr>
      <w:headerReference w:type="default" r:id="rId8"/>
      <w:footerReference w:type="default" r:id="rId9"/>
      <w:headerReference w:type="first" r:id="rId10"/>
      <w:footerReference w:type="first" r:id="rId11"/>
      <w:type w:val="continuous"/>
      <w:pgSz w:h="16840" w:w="11900"/>
      <w:pgMar w:left="1247" w:top="3204" w:right="3204" w:bottom="964" w:header="2841" w:footer="0"/>
      <w:paperSrc w:first="0" w:other="0" a="0" b="0"/>
      <w:pgNumType w:fmt="decimal"/>
      <w:titlePg/>
      <w:tmGutter w:val="3"/>
      <w:mirrorMargins w:val="0"/>
      <w:tmSection w:h="-2">
        <w:tmHeader w:id="0" w:h="0" edge="2841" text="0">
          <w:shd w:val="none"/>
        </w:tmHeader>
        <w:tmHeader w:id="2" w:h="0" edge="2841" text="0">
          <w:shd w:val="none"/>
        </w:tmHeader>
      </w:tmSection>
      <w:guidesAndGridMasterPages Id="0" numberOfVerticalGuides="0" numberOfHorizontalGuides="0"/>
      <w:guidesAndGridMasterPages Id="1" numberOfVerticalGuides="0" numberOfHorizontalGuides="0"/>
      <w:guidesAndGridMasterPages Id="2" numberOfVerticalGuides="0" numberOfHorizontalGuides="0"/>
      <w:foldMark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Symbol">
    <w:panose1 w:val="05050102010706020507"/>
    <w:charset w:val="02"/>
    <w:family w:val="roman"/>
    <w:pitch w:val="default"/>
  </w:font>
  <w:font w:name="Courier New">
    <w:panose1 w:val="02070309020205020404"/>
    <w:charset w:val="00"/>
    <w:family w:val="modern"/>
    <w:pitch w:val="default"/>
  </w:font>
  <w:font w:name="Wingdings">
    <w:panose1 w:val="05000000000000000000"/>
    <w:charset w:val="02"/>
    <w:family w:val="auto"/>
    <w:pitch w:val="default"/>
  </w:font>
  <w:font w:name="Lucida Grande">
    <w:panose1 w:val="020B0604020202020204"/>
    <w:charset w:val="00"/>
    <w:family w:val="auto"/>
    <w:pitch w:val="default"/>
  </w:font>
  <w:font w:name="Arial (TT) Regular">
    <w:panose1 w:val="020B0604020202020204"/>
    <w:charset w:val="00"/>
    <w:family w:val="auto"/>
    <w:pitch w:val="default"/>
  </w:font>
  <w:font w:name="Cambria">
    <w:panose1 w:val="02040503050406030204"/>
    <w:charset w:val="00"/>
    <w:family w:val="roman"/>
    <w:pitch w:val="default"/>
  </w:font>
  <w:font w:name="Calibri">
    <w:panose1 w:val="020F0502020204030204"/>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pStyle w:val="para2"/>
    </w:pPr>
    <w:r>
      <w:rPr>
        <w:noProof/>
      </w:rPr>
      <w:drawing>
        <wp:anchor distT="0" distB="0" distL="114300" distR="114300" simplePos="0" relativeHeight="251658241" behindDoc="0" locked="0" layoutInCell="0" hidden="0" allowOverlap="1">
          <wp:simplePos x="0" y="0"/>
          <wp:positionH relativeFrom="column">
            <wp:posOffset>4642485</wp:posOffset>
          </wp:positionH>
          <wp:positionV relativeFrom="paragraph">
            <wp:posOffset>-1500505</wp:posOffset>
          </wp:positionV>
          <wp:extent cx="1995170" cy="170942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a:extLst>
                      <a:ext uri="smNativeData">
                        <sm:smNativeData xmlns:sm="smNativeData" val="SMDATA_17_bUC8Yx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KAAAAAAAAAAAAAAAAAAAAIAAACPHAAAAAAAAAIAAADF9v//RgwAAIQKAAAAAAAAbiEAAN4BAAAoAAAACAAAAAEAAAABAAAAMAAAABQAAAAAAAAAAAD//wAAAQAAAP//AAABAA=="/>
                      </a:ext>
                    </a:extLst>
                  </pic:cNvPicPr>
                </pic:nvPicPr>
                <pic:blipFill>
                  <a:blip r:embed="rId1"/>
                  <a:stretch>
                    <a:fillRect/>
                  </a:stretch>
                </pic:blipFill>
                <pic:spPr>
                  <a:xfrm>
                    <a:off x="0" y="0"/>
                    <a:ext cx="1995170" cy="1709420"/>
                  </a:xfrm>
                  <a:prstGeom prst="rect">
                    <a:avLst/>
                  </a:prstGeom>
                  <a:noFill/>
                  <a:ln w="12700">
                    <a:noFill/>
                  </a:ln>
                </pic:spPr>
              </pic:pic>
            </a:graphicData>
          </a:graphic>
        </wp:anchor>
      </w:drawing>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p>
    <w:pPr>
      <w:rPr>
        <w:rFonts w:ascii="Arial" w:hAnsi="Arial"/>
        <w:sz w:val="16"/>
        <w:szCs w:val="16"/>
      </w:rPr>
    </w:pPr>
    <w:r>
      <w:rPr>
        <w:noProof/>
      </w:rPr>
      <w:drawing>
        <wp:anchor distT="0" distB="0" distL="114300" distR="114300" simplePos="0" relativeHeight="251658242" behindDoc="0" locked="0" layoutInCell="0" hidden="0" allowOverlap="1">
          <wp:simplePos x="0" y="0"/>
          <wp:positionH relativeFrom="column">
            <wp:posOffset>4794885</wp:posOffset>
          </wp:positionH>
          <wp:positionV relativeFrom="paragraph">
            <wp:posOffset>-1348105</wp:posOffset>
          </wp:positionV>
          <wp:extent cx="1995170" cy="1518920"/>
          <wp:effectExtent l="0" t="0" r="0" b="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7"/>
                  <pic:cNvPicPr>
                    <a:picLocks noChangeAspect="1"/>
                    <a:extLst>
                      <a:ext uri="smNativeData">
                        <sm:smNativeData xmlns:sm="smNativeData" val="SMDATA_17_bUC8YxMAAAAlAAAAEQAAAG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EIAAAAAAAAAAAAAAAQAAAAIAAAB/HQAAAQAAAAIAAAC19///RgwAAFgJAAACAAAAXiIAAM4CAAAoAAAACAAAAAEAAAABAAAAMAAAABQAAAAAAAAAAAD//wAAAQAAAP//AAABAA=="/>
                      </a:ext>
                    </a:extLst>
                  </pic:cNvPicPr>
                </pic:nvPicPr>
                <pic:blipFill>
                  <a:blip r:embed="rId1"/>
                  <a:stretch>
                    <a:fillRect/>
                  </a:stretch>
                </pic:blipFill>
                <pic:spPr>
                  <a:xfrm>
                    <a:off x="0" y="0"/>
                    <a:ext cx="1995170" cy="1518920"/>
                  </a:xfrm>
                  <a:prstGeom prst="rect">
                    <a:avLst/>
                  </a:prstGeom>
                  <a:noFill/>
                  <a:ln w="12700">
                    <a:noFill/>
                  </a:ln>
                </pic:spPr>
              </pic:pic>
            </a:graphicData>
          </a:graphic>
        </wp:anchor>
      </w:drawing>
    </w:r>
    <w:r>
      <w:rPr>
        <w:rFonts w:ascii="Arial" w:hAnsi="Arial"/>
        <w:sz w:val="16"/>
        <w:szCs w:val="16"/>
      </w:r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hybridMultilevel"/>
    <w:name w:val="Nummerierungsliste 1"/>
    <w:lvl w:ilvl="0">
      <w:numFmt w:val="bullet"/>
      <w:suff w:val="tab"/>
      <w:lvlText w:val=""/>
      <w:lvlJc w:val="left"/>
      <w:pPr>
        <w:ind w:left="360" w:hanging="0"/>
      </w:pPr>
      <w:rPr>
        <w:rFonts w:ascii="Symbol" w:hAnsi="Symbol"/>
      </w:rPr>
    </w:lvl>
    <w:lvl w:ilvl="1">
      <w:numFmt w:val="bullet"/>
      <w:suff w:val="tab"/>
      <w:lvlText w:val="o"/>
      <w:lvlJc w:val="left"/>
      <w:pPr>
        <w:ind w:left="1080" w:hanging="0"/>
      </w:pPr>
      <w:rPr>
        <w:rFonts w:ascii="Courier New" w:hAnsi="Courier New" w:cs="Courier New"/>
      </w:rPr>
    </w:lvl>
    <w:lvl w:ilvl="2">
      <w:numFmt w:val="bullet"/>
      <w:suff w:val="tab"/>
      <w:lvlText w:val=""/>
      <w:lvlJc w:val="left"/>
      <w:pPr>
        <w:ind w:left="1800" w:hanging="0"/>
      </w:pPr>
      <w:rPr>
        <w:rFonts w:ascii="Wingdings" w:hAnsi="Wingdings" w:eastAsia="Wingdings" w:cs="Wingdings"/>
      </w:rPr>
    </w:lvl>
    <w:lvl w:ilvl="3">
      <w:numFmt w:val="bullet"/>
      <w:suff w:val="tab"/>
      <w:lvlText w:val=""/>
      <w:lvlJc w:val="left"/>
      <w:pPr>
        <w:ind w:left="2520" w:hanging="0"/>
      </w:pPr>
      <w:rPr>
        <w:rFonts w:ascii="Symbol" w:hAnsi="Symbol"/>
      </w:rPr>
    </w:lvl>
    <w:lvl w:ilvl="4">
      <w:numFmt w:val="bullet"/>
      <w:suff w:val="tab"/>
      <w:lvlText w:val="o"/>
      <w:lvlJc w:val="left"/>
      <w:pPr>
        <w:ind w:left="3240" w:hanging="0"/>
      </w:pPr>
      <w:rPr>
        <w:rFonts w:ascii="Courier New" w:hAnsi="Courier New" w:cs="Courier New"/>
      </w:rPr>
    </w:lvl>
    <w:lvl w:ilvl="5">
      <w:numFmt w:val="bullet"/>
      <w:suff w:val="tab"/>
      <w:lvlText w:val=""/>
      <w:lvlJc w:val="left"/>
      <w:pPr>
        <w:ind w:left="3960" w:hanging="0"/>
      </w:pPr>
      <w:rPr>
        <w:rFonts w:ascii="Wingdings" w:hAnsi="Wingdings" w:eastAsia="Wingdings" w:cs="Wingdings"/>
      </w:rPr>
    </w:lvl>
    <w:lvl w:ilvl="6">
      <w:numFmt w:val="bullet"/>
      <w:suff w:val="tab"/>
      <w:lvlText w:val=""/>
      <w:lvlJc w:val="left"/>
      <w:pPr>
        <w:ind w:left="4680" w:hanging="0"/>
      </w:pPr>
      <w:rPr>
        <w:rFonts w:ascii="Symbol" w:hAnsi="Symbol"/>
      </w:rPr>
    </w:lvl>
    <w:lvl w:ilvl="7">
      <w:numFmt w:val="bullet"/>
      <w:suff w:val="tab"/>
      <w:lvlText w:val="o"/>
      <w:lvlJc w:val="left"/>
      <w:pPr>
        <w:ind w:left="5400" w:hanging="0"/>
      </w:pPr>
      <w:rPr>
        <w:rFonts w:ascii="Courier New" w:hAnsi="Courier New" w:cs="Courier New"/>
      </w:rPr>
    </w:lvl>
    <w:lvl w:ilvl="8">
      <w:numFmt w:val="bullet"/>
      <w:suff w:val="tab"/>
      <w:lvlText w:val=""/>
      <w:lvlJc w:val="left"/>
      <w:pPr>
        <w:ind w:left="6120" w:hanging="0"/>
      </w:pPr>
      <w:rPr>
        <w:rFonts w:ascii="Wingdings" w:hAnsi="Wingdings" w:eastAsia="Wingdings" w:cs="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view w:val="print"/>
  <w:defaultTabStop w:val="708"/>
  <w:autoHyphenation w:val="0"/>
  <w:doNotShadeFormData w:val="0"/>
  <w:captions>
    <w:caption w:name="Tabelle" w:pos="below" w:numFmt="decimal"/>
    <w:caption w:name="Abbildung" w:pos="below" w:numFmt="decimal"/>
    <w:caption w:name="Grafik"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5121"/>
    <o:shapelayout v:ext="edit">
      <o:rules v:ext="edit"/>
    </o:shapelayout>
  </w:shapeDefaults>
  <w:tmPrefOne w:val="17"/>
  <w:tmPrefTwo w:val="1"/>
  <w:tmFmtPref w:val="55057515"/>
  <w:tmCommentsPr>
    <w:tmCommentsPlace w:val="0"/>
    <w:tmCommentsWidth w:val="3119"/>
    <w:tmCommentsColor w:val="-1"/>
  </w:tmCommentsPr>
  <w:tmReviewPr>
    <w:tmReviewEnabled w:val="0"/>
    <w:tmReviewShow w:val="1"/>
    <w:tmReviewPrint w:val="0"/>
    <w:tmRevisionNum w:val="4"/>
    <w:tmReviewMarkIns w:val="4"/>
    <w:tmReviewColorIns w:val="-1"/>
    <w:tmReviewMarkDel w:val="6"/>
    <w:tmReviewColorDel w:val="-1"/>
    <w:tmReviewMarkFmt w:val="1"/>
    <w:tmReviewColorFmt w:val="-1"/>
    <w:tmReviewMarkLn w:val="1"/>
    <w:tmReviewColorLn w:val="0"/>
    <w:tmReviewToolTip w:val="1"/>
  </w:tmReviewPr>
  <w:tmLastPos>
    <w:tmLastPosPage w:val="0"/>
    <w:tmLastPosSelect w:val="0"/>
    <w:tmLastPosFrameIdx w:val="0"/>
    <w:tmLastPosCaret>
      <w:tmLastPosPgfIdx w:val="21"/>
      <w:tmLastPosIdx w:val="0"/>
    </w:tmLastPosCaret>
    <w:tmLastPosAnchor>
      <w:tmLastPosPgfIdx w:val="0"/>
      <w:tmLastPosIdx w:val="0"/>
    </w:tmLastPosAnchor>
    <w:tmLastPosTblRect w:left="0" w:top="0" w:right="0" w:bottom="0"/>
  </w:tmLastPos>
  <w:tmAppRevision w:date="1673281645" w:val="1060" w:fileVer="342" w:fileVer64="64" w:fileVerOS="4"/>
  <w:guidesAndGrid showGuides="1" lockGuides="0" snapToGuides="1" snapToPageMargins="0" snapToOtherObjects="1"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Times New Roman" w:cs="Times New Roman"/>
        <w:sz w:val="20"/>
        <w:szCs w:val="20"/>
        <w:lang w:val="de-de" w:eastAsia="de-de"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sz w:val="24"/>
      <w:szCs w:val="24"/>
    </w:rPr>
  </w:style>
  <w:style w:type="paragraph" w:styleId="para1">
    <w:name w:val="Balloon Text"/>
    <w:qFormat/>
    <w:basedOn w:val="para0"/>
    <w:rPr>
      <w:rFonts w:ascii="Lucida Grande" w:hAnsi="Lucida Grande"/>
      <w:sz w:val="18"/>
      <w:szCs w:val="18"/>
    </w:rPr>
  </w:style>
  <w:style w:type="paragraph" w:styleId="para2">
    <w:name w:val="Header"/>
    <w:qFormat/>
    <w:basedOn w:val="para0"/>
    <w:pPr>
      <w:tabs defTabSz="708">
        <w:tab w:val="center" w:pos="4536" w:leader="none"/>
        <w:tab w:val="right" w:pos="9072" w:leader="none"/>
      </w:tabs>
    </w:pPr>
  </w:style>
  <w:style w:type="paragraph" w:styleId="para3">
    <w:name w:val="Footer"/>
    <w:qFormat/>
    <w:basedOn w:val="para0"/>
    <w:pPr>
      <w:tabs defTabSz="708">
        <w:tab w:val="center" w:pos="4536" w:leader="none"/>
        <w:tab w:val="right" w:pos="9072" w:leader="none"/>
      </w:tabs>
    </w:pPr>
  </w:style>
  <w:style w:type="paragraph" w:styleId="para4" w:customStyle="1">
    <w:name w:val="Fliesstext"/>
    <w:qFormat/>
    <w:basedOn w:val="para0"/>
    <w:pPr>
      <w:spacing w:line="260" w:lineRule="exact"/>
      <w:jc w:val="both"/>
    </w:pPr>
    <w:rPr>
      <w:rFonts w:ascii="Arial" w:hAnsi="Arial"/>
      <w:sz w:val="22"/>
    </w:rPr>
  </w:style>
  <w:style w:type="paragraph" w:styleId="para5" w:customStyle="1">
    <w:name w:val="Absender_Verband"/>
    <w:qFormat/>
    <w:basedOn w:val="para0"/>
    <w:pPr>
      <w:spacing w:line="288" w:lineRule="auto"/>
      <w:tabs defTabSz="708">
        <w:tab w:val="left" w:pos="4252" w:leader="none"/>
      </w:tabs>
    </w:pPr>
    <w:rPr>
      <w:rFonts w:ascii="Arial (TT) Regular" w:hAnsi="Arial (TT) Regular" w:cs="Arial (TT) Regular"/>
      <w:color w:val="000000"/>
      <w:sz w:val="20"/>
      <w:szCs w:val="20"/>
    </w:rPr>
  </w:style>
  <w:style w:type="paragraph" w:styleId="para6">
    <w:name w:val="List Paragraph"/>
    <w:qFormat/>
    <w:basedOn w:val="para0"/>
    <w:pPr>
      <w:ind w:left="720"/>
      <w:contextualSpacing/>
    </w:pPr>
  </w:style>
  <w:style w:type="character" w:styleId="char0" w:default="1">
    <w:name w:val="Default Paragraph Font"/>
  </w:style>
  <w:style w:type="character" w:styleId="char1">
    <w:name w:val="Hyperlink"/>
    <w:rPr>
      <w:color w:val="0000ff"/>
      <w:u w:color="auto" w:val="single"/>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Times New Roman" w:cs="Times New Roman"/>
        <w:sz w:val="20"/>
        <w:szCs w:val="20"/>
        <w:lang w:val="de-de" w:eastAsia="de-de" w:bidi="ar-sa"/>
      </w:rPr>
    </w:rPrDefault>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rPr>
      <w:sz w:val="24"/>
      <w:szCs w:val="24"/>
    </w:rPr>
  </w:style>
  <w:style w:type="paragraph" w:styleId="para1">
    <w:name w:val="Balloon Text"/>
    <w:qFormat/>
    <w:basedOn w:val="para0"/>
    <w:rPr>
      <w:rFonts w:ascii="Lucida Grande" w:hAnsi="Lucida Grande"/>
      <w:sz w:val="18"/>
      <w:szCs w:val="18"/>
    </w:rPr>
  </w:style>
  <w:style w:type="paragraph" w:styleId="para2">
    <w:name w:val="Header"/>
    <w:qFormat/>
    <w:basedOn w:val="para0"/>
    <w:pPr>
      <w:tabs defTabSz="708">
        <w:tab w:val="center" w:pos="4536" w:leader="none"/>
        <w:tab w:val="right" w:pos="9072" w:leader="none"/>
      </w:tabs>
    </w:pPr>
  </w:style>
  <w:style w:type="paragraph" w:styleId="para3">
    <w:name w:val="Footer"/>
    <w:qFormat/>
    <w:basedOn w:val="para0"/>
    <w:pPr>
      <w:tabs defTabSz="708">
        <w:tab w:val="center" w:pos="4536" w:leader="none"/>
        <w:tab w:val="right" w:pos="9072" w:leader="none"/>
      </w:tabs>
    </w:pPr>
  </w:style>
  <w:style w:type="paragraph" w:styleId="para4" w:customStyle="1">
    <w:name w:val="Fliesstext"/>
    <w:qFormat/>
    <w:basedOn w:val="para0"/>
    <w:pPr>
      <w:spacing w:line="260" w:lineRule="exact"/>
      <w:jc w:val="both"/>
    </w:pPr>
    <w:rPr>
      <w:rFonts w:ascii="Arial" w:hAnsi="Arial"/>
      <w:sz w:val="22"/>
    </w:rPr>
  </w:style>
  <w:style w:type="paragraph" w:styleId="para5" w:customStyle="1">
    <w:name w:val="Absender_Verband"/>
    <w:qFormat/>
    <w:basedOn w:val="para0"/>
    <w:pPr>
      <w:spacing w:line="288" w:lineRule="auto"/>
      <w:tabs defTabSz="708">
        <w:tab w:val="left" w:pos="4252" w:leader="none"/>
      </w:tabs>
    </w:pPr>
    <w:rPr>
      <w:rFonts w:ascii="Arial (TT) Regular" w:hAnsi="Arial (TT) Regular" w:cs="Arial (TT) Regular"/>
      <w:color w:val="000000"/>
      <w:sz w:val="20"/>
      <w:szCs w:val="20"/>
    </w:rPr>
  </w:style>
  <w:style w:type="paragraph" w:styleId="para6">
    <w:name w:val="List Paragraph"/>
    <w:qFormat/>
    <w:basedOn w:val="para0"/>
    <w:pPr>
      <w:ind w:left="720"/>
      <w:contextualSpacing/>
    </w:pPr>
  </w:style>
  <w:style w:type="character" w:styleId="char0" w:default="1">
    <w:name w:val="Default Paragraph Font"/>
  </w:style>
  <w:style w:type="character" w:styleId="char1">
    <w:name w:val="Hyperlink"/>
    <w:rPr>
      <w:color w:val="0000ff"/>
      <w:u w:color="auto" w:val="single"/>
    </w:rPr>
  </w:style>
  <w:style w:type="table" w:default="1" w:styleId="TableNormal">
    <w:name w:val="Normale Tabelle"/>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 Id="rId11" Type="http://schemas.openxmlformats.org/officeDocument/2006/relationships/footer" Target="footer2.xml"/></Relationships>
</file>

<file path=word/_rels/header1.xml.rels><?xml version="1.0" encoding="UTF-8" standalone="yes" ?>
<Relationships xmlns="http://schemas.openxmlformats.org/package/2006/relationships"><Relationship Id="rId1" Type="http://schemas.openxmlformats.org/officeDocument/2006/relationships/image" Target="media/image1.png"/></Relationships>
</file>

<file path=word/_rels/header2.xml.rels><?xml version="1.0" encoding="UTF-8" standalone="yes" ?>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2021 rev.1060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DRK-Kreisverband Musterstadt e</dc:title>
  <dc:subject/>
  <dc:creator>Winter, Veronika</dc:creator>
  <cp:keywords/>
  <dc:description/>
  <cp:lastModifiedBy/>
  <cp:revision>4</cp:revision>
  <cp:lastPrinted>2009-03-24T15:06:00Z</cp:lastPrinted>
  <dcterms:created xsi:type="dcterms:W3CDTF">2017-04-04T09:38:00Z</dcterms:created>
  <dcterms:modified xsi:type="dcterms:W3CDTF">2023-01-09T16:27:25Z</dcterms:modified>
</cp:coreProperties>
</file>